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714EF85A" w:rsidR="00A817A5" w:rsidRDefault="003A4F39" w:rsidP="00A817A5">
      <w:pPr>
        <w:pStyle w:val="Heading2"/>
      </w:pPr>
      <w:r>
        <w:t>Wooden Marker Stand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5AAE566C" w14:textId="03669B23" w:rsidR="004129A7" w:rsidRDefault="004129A7" w:rsidP="004129A7">
            <w:r w:rsidRPr="77DED350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This wooden marker stand holds 16 different Crayola (or similarly sized) markers. Keeps the lids safe while using the markers and is convenient for transporting markers. The stand measures 10 1/2 inches </w:t>
            </w:r>
            <w:r w:rsidR="00862276" w:rsidRPr="77DED350">
              <w:rPr>
                <w:rFonts w:ascii="Avenir" w:eastAsia="Avenir" w:hAnsi="Avenir" w:cs="Avenir"/>
                <w:color w:val="000000" w:themeColor="text1"/>
                <w:szCs w:val="24"/>
              </w:rPr>
              <w:t>long</w:t>
            </w:r>
            <w:r w:rsidRPr="77DED350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x 3 3/4 inch wide and 1 3/4 inches high.</w:t>
            </w:r>
            <w:r>
              <w:t xml:space="preserve"> </w:t>
            </w:r>
          </w:p>
          <w:p w14:paraId="34DC4787" w14:textId="6D364AE4" w:rsidR="00A817A5" w:rsidRDefault="004129A7" w:rsidP="004129A7">
            <w:hyperlink r:id="rId10" w:history="1">
              <w:r>
                <w:rPr>
                  <w:rStyle w:val="Hyperlink"/>
                  <w:rFonts w:ascii="Avenir" w:hAnsi="Avenir"/>
                  <w:color w:val="1155CC"/>
                  <w:shd w:val="clear" w:color="auto" w:fill="FFFFFF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03828038" w:rsidR="00125BFD" w:rsidRPr="00D30202" w:rsidRDefault="00C35588" w:rsidP="00D30202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07DA47C" wp14:editId="43F237BD">
                  <wp:extent cx="2541905" cy="1743075"/>
                  <wp:effectExtent l="0" t="0" r="0" b="0"/>
                  <wp:docPr id="239268922" name="Picture 239268922" descr="8 markers are arranged cap side down in holes drilled into a rectangular shaped piece of woo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88" b="14939"/>
                          <a:stretch/>
                        </pic:blipFill>
                        <pic:spPr bwMode="auto">
                          <a:xfrm>
                            <a:off x="0" y="0"/>
                            <a:ext cx="2542032" cy="1743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4956ED86" w14:textId="3517BC28" w:rsidR="006C3BDF" w:rsidRDefault="00125BFD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 xml:space="preserve">Those who </w:t>
      </w:r>
      <w:r w:rsidR="009B454B">
        <w:rPr>
          <w:rFonts w:cs="Open Sans"/>
        </w:rPr>
        <w:t>demonstrate motor challenges</w:t>
      </w:r>
      <w:r w:rsidR="00915514">
        <w:rPr>
          <w:rFonts w:cs="Open Sans"/>
        </w:rPr>
        <w:t xml:space="preserve"> around </w:t>
      </w:r>
      <w:r w:rsidR="00D4789F">
        <w:rPr>
          <w:rFonts w:cs="Open Sans"/>
        </w:rPr>
        <w:t xml:space="preserve">picking up a marker from a surface, lose track of lids, </w:t>
      </w:r>
      <w:r w:rsidR="00007746">
        <w:rPr>
          <w:rFonts w:cs="Open Sans"/>
        </w:rPr>
        <w:t xml:space="preserve">or are </w:t>
      </w:r>
      <w:r w:rsidR="00E07A00">
        <w:rPr>
          <w:rFonts w:cs="Open Sans"/>
        </w:rPr>
        <w:t>working on developing grasp.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1A3AB60A" w14:textId="29943850" w:rsidR="00F47A61" w:rsidRPr="00E36279" w:rsidRDefault="00DD532B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An opportunity to </w:t>
      </w:r>
      <w:r w:rsidR="002E43F6">
        <w:t>easily view color choices, move multiple markers from place to place, recap markers independently, and easily pick up and grip marker.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7CEFB261" w:rsidR="0078211F" w:rsidRDefault="0078211F" w:rsidP="0078211F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Use</w:t>
            </w:r>
            <w:r w:rsidRPr="4E34DEC4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in any environment</w:t>
            </w:r>
            <w:r w:rsidR="002E43F6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on a flat surface.</w:t>
            </w:r>
          </w:p>
          <w:p w14:paraId="26628FD6" w14:textId="55D1F843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</w:p>
          <w:p w14:paraId="64C843EA" w14:textId="555EEBF6" w:rsidR="00881DCF" w:rsidRPr="00881DCF" w:rsidRDefault="00881DCF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floor.</w:t>
            </w:r>
          </w:p>
          <w:p w14:paraId="3AE4A77A" w14:textId="5333C059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881DCF">
              <w:rPr>
                <w:b/>
                <w:bCs/>
                <w:szCs w:val="24"/>
              </w:rPr>
              <w:t xml:space="preserve"> </w:t>
            </w:r>
            <w:r w:rsidR="00881DCF" w:rsidRPr="00881DCF">
              <w:rPr>
                <w:b/>
                <w:bCs/>
                <w:szCs w:val="24"/>
              </w:rPr>
              <w:sym w:font="Wingdings" w:char="F0E0"/>
            </w:r>
            <w:r w:rsidR="00881DCF">
              <w:rPr>
                <w:b/>
                <w:bCs/>
                <w:szCs w:val="24"/>
              </w:rPr>
              <w:t xml:space="preserve"> Extended Play/Use </w:t>
            </w:r>
          </w:p>
          <w:p w14:paraId="72FB5F23" w14:textId="43BFDB2A" w:rsidR="00371A37" w:rsidRDefault="00707D28" w:rsidP="00371A37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Cap and put away markers</w:t>
            </w:r>
            <w:r w:rsidR="005C725F">
              <w:rPr>
                <w:rFonts w:ascii="Avenir" w:hAnsi="Avenir"/>
                <w:color w:val="000000"/>
              </w:rPr>
              <w:t>.</w:t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881DCF" w:rsidRPr="00881DCF">
              <w:rPr>
                <w:rFonts w:ascii="Avenir" w:hAnsi="Avenir"/>
                <w:color w:val="000000"/>
              </w:rPr>
              <w:sym w:font="Wingdings" w:char="F0E0"/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>
              <w:rPr>
                <w:rFonts w:ascii="Avenir" w:hAnsi="Avenir"/>
                <w:color w:val="000000"/>
              </w:rPr>
              <w:t>Matching marker colors to their caps</w:t>
            </w:r>
            <w:r w:rsidR="00E63DF3">
              <w:rPr>
                <w:rFonts w:ascii="Avenir" w:hAnsi="Avenir"/>
                <w:color w:val="000000"/>
              </w:rPr>
              <w:t>.</w:t>
            </w:r>
          </w:p>
          <w:p w14:paraId="0AA3ADA1" w14:textId="4EADBA37" w:rsidR="00E63DF3" w:rsidRDefault="00E63DF3" w:rsidP="00E63D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Play/Use with Others</w:t>
            </w:r>
          </w:p>
          <w:p w14:paraId="6B64B83D" w14:textId="51CF2E34" w:rsidR="00E63DF3" w:rsidRPr="00881DCF" w:rsidRDefault="00E63DF3" w:rsidP="00E63DF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Use 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in a shared space between students during </w:t>
            </w:r>
            <w:r w:rsidR="00E31929">
              <w:rPr>
                <w:rFonts w:ascii="Avenir" w:hAnsi="Avenir"/>
                <w:color w:val="000000"/>
                <w:shd w:val="clear" w:color="auto" w:fill="FFFFFF"/>
              </w:rPr>
              <w:t>drawing activities.</w:t>
            </w:r>
          </w:p>
          <w:p w14:paraId="61B971CE" w14:textId="77777777" w:rsidR="00E63DF3" w:rsidRPr="008D572E" w:rsidRDefault="00E63DF3" w:rsidP="00E63DF3">
            <w:pPr>
              <w:rPr>
                <w:b/>
                <w:bCs/>
                <w:szCs w:val="24"/>
              </w:rPr>
            </w:pPr>
          </w:p>
          <w:p w14:paraId="05BABEE7" w14:textId="77777777" w:rsidR="00E63DF3" w:rsidRPr="00BD78B5" w:rsidRDefault="00E63DF3" w:rsidP="00E63DF3">
            <w:pPr>
              <w:rPr>
                <w:rFonts w:ascii="Avenir" w:hAnsi="Avenir"/>
                <w:color w:val="000000"/>
              </w:rPr>
            </w:pPr>
          </w:p>
          <w:p w14:paraId="70F9CC42" w14:textId="56966C47" w:rsidR="00371A37" w:rsidRPr="00000274" w:rsidRDefault="00371A37" w:rsidP="00371A37">
            <w:pPr>
              <w:rPr>
                <w:rFonts w:ascii="Avenir" w:hAnsi="Avenir"/>
                <w:color w:val="000000"/>
              </w:rPr>
            </w:pPr>
          </w:p>
        </w:tc>
        <w:tc>
          <w:tcPr>
            <w:tcW w:w="4860" w:type="dxa"/>
          </w:tcPr>
          <w:p w14:paraId="6E508388" w14:textId="77777777" w:rsidR="00F31457" w:rsidRDefault="00F31457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4DD2F51B" w14:textId="05244AAD" w:rsidR="00F31457" w:rsidRPr="00F31457" w:rsidRDefault="008A5FB8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Use </w:t>
            </w:r>
            <w:proofErr w:type="spellStart"/>
            <w:r>
              <w:rPr>
                <w:rFonts w:ascii="Avenir" w:hAnsi="Avenir"/>
                <w:color w:val="000000" w:themeColor="text1"/>
                <w:shd w:val="clear" w:color="auto" w:fill="FFFFFF"/>
              </w:rPr>
              <w:t>Dycem</w:t>
            </w:r>
            <w:proofErr w:type="spellEnd"/>
            <w:r>
              <w:rPr>
                <w:rFonts w:ascii="Avenir" w:hAnsi="Avenir"/>
                <w:color w:val="000000" w:themeColor="text1"/>
                <w:shd w:val="clear" w:color="auto" w:fill="FFFFFF"/>
              </w:rPr>
              <w:t>/shelf liner</w:t>
            </w:r>
            <w:r w:rsidR="00E31929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</w:t>
            </w:r>
            <w:r w:rsidR="005B510F">
              <w:rPr>
                <w:rFonts w:ascii="Avenir" w:hAnsi="Avenir"/>
                <w:color w:val="000000" w:themeColor="text1"/>
                <w:shd w:val="clear" w:color="auto" w:fill="FFFFFF"/>
              </w:rPr>
              <w:t>to secure.</w:t>
            </w:r>
          </w:p>
          <w:p w14:paraId="2270BCF9" w14:textId="77777777" w:rsidR="00E31929" w:rsidRDefault="00E31929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Simplify It</w:t>
            </w:r>
          </w:p>
          <w:p w14:paraId="5A0E51BB" w14:textId="37467113" w:rsidR="00E31929" w:rsidRPr="00881DCF" w:rsidRDefault="00E31929" w:rsidP="00E31929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Reduce number of markers in stand.</w:t>
            </w:r>
          </w:p>
          <w:p w14:paraId="25884DFF" w14:textId="2AF611AB" w:rsidR="00BC09BF" w:rsidRDefault="00BC09BF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Add Sensory Cues</w:t>
            </w:r>
          </w:p>
          <w:p w14:paraId="53CF8D04" w14:textId="6E109B15" w:rsidR="00BC09BF" w:rsidRPr="00F67E33" w:rsidRDefault="00BC09BF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Add </w:t>
            </w:r>
            <w:r w:rsidR="00E31929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outline </w:t>
            </w:r>
            <w:r w:rsidR="00F67E33">
              <w:rPr>
                <w:rFonts w:ascii="Avenir" w:hAnsi="Avenir"/>
                <w:color w:val="000000" w:themeColor="text1"/>
                <w:shd w:val="clear" w:color="auto" w:fill="FFFFFF"/>
              </w:rPr>
              <w:t>to marker hole with corresponding color.</w:t>
            </w:r>
          </w:p>
          <w:p w14:paraId="2523E208" w14:textId="4B096743" w:rsidR="00F67E33" w:rsidRPr="00BC09BF" w:rsidRDefault="00F67E33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Add texture to marker holes</w:t>
            </w:r>
            <w:r w:rsidR="00CD5771">
              <w:rPr>
                <w:rFonts w:ascii="Avenir" w:hAnsi="Avenir"/>
                <w:color w:val="000000" w:themeColor="text1"/>
              </w:rPr>
              <w:t xml:space="preserve"> for blind/low vision users</w:t>
            </w:r>
            <w:r w:rsidR="00126E36">
              <w:rPr>
                <w:rFonts w:ascii="Avenir" w:hAnsi="Avenir"/>
                <w:color w:val="000000" w:themeColor="text1"/>
              </w:rPr>
              <w:t xml:space="preserve"> to identify different colors.</w:t>
            </w:r>
          </w:p>
          <w:p w14:paraId="4EFED2ED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Communication Supports </w:t>
            </w:r>
          </w:p>
          <w:p w14:paraId="250D22D1" w14:textId="7C4DA4C1" w:rsidR="00F56CCB" w:rsidRPr="00E02186" w:rsidRDefault="006024D4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>Provide a communication board with vocabulary appropriate for the activity.</w:t>
            </w:r>
          </w:p>
          <w:p w14:paraId="1757A4A1" w14:textId="290187E3" w:rsidR="00D43FAB" w:rsidRPr="00E02186" w:rsidRDefault="00A065B3" w:rsidP="00D43FAB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Alternative</w:t>
            </w:r>
            <w:r w:rsidR="005E40E2">
              <w:rPr>
                <w:b/>
                <w:bCs/>
                <w:color w:val="000000" w:themeColor="text1"/>
                <w:szCs w:val="24"/>
              </w:rPr>
              <w:t xml:space="preserve"> Uses</w:t>
            </w:r>
          </w:p>
          <w:p w14:paraId="283D5F66" w14:textId="0208040C" w:rsidR="00BB0D17" w:rsidRPr="00126E36" w:rsidRDefault="00E45BC0" w:rsidP="00126E36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Work on color and color word matching.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4D5240" w:rsidRPr="0096519F" w14:paraId="7380D09E" w14:textId="77777777" w:rsidTr="005C2B3F">
        <w:trPr>
          <w:trHeight w:val="2682"/>
          <w:jc w:val="center"/>
        </w:trPr>
        <w:tc>
          <w:tcPr>
            <w:tcW w:w="3312" w:type="dxa"/>
          </w:tcPr>
          <w:p w14:paraId="25EC5DC6" w14:textId="77777777" w:rsidR="004D5240" w:rsidRDefault="004D5240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77DED350">
              <w:rPr>
                <w:rFonts w:cs="Open Sans"/>
                <w:b/>
                <w:bCs/>
                <w:sz w:val="32"/>
                <w:szCs w:val="32"/>
              </w:rPr>
              <w:t>Clean Up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DCF290A" wp14:editId="3F6660CA">
                  <wp:extent cx="1965960" cy="1474470"/>
                  <wp:effectExtent l="0" t="0" r="2540" b="0"/>
                  <wp:docPr id="754367264" name="Picture 10" descr="A stick figure holding a box moving toward a shelf and a black arrow pointing from the box to the sh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67264" name="Picture 10" descr="A stick figure holding a box moving toward a shelf and a black arrow pointing from the box to the shelf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64A0C" w14:textId="77777777" w:rsidR="004D5240" w:rsidRPr="0096519F" w:rsidRDefault="004D5240" w:rsidP="005C2B3F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312" w:type="dxa"/>
          </w:tcPr>
          <w:p w14:paraId="72E39562" w14:textId="77777777" w:rsidR="004D5240" w:rsidRPr="0096519F" w:rsidRDefault="004D5240" w:rsidP="005C2B3F">
            <w:pPr>
              <w:jc w:val="center"/>
            </w:pPr>
            <w:r>
              <w:rPr>
                <w:rFonts w:cs="Open Sans"/>
                <w:b/>
                <w:bCs/>
                <w:noProof/>
                <w:sz w:val="32"/>
                <w:szCs w:val="32"/>
              </w:rPr>
              <w:t>Draw</w:t>
            </w:r>
            <w:r>
              <w:rPr>
                <w:noProof/>
              </w:rPr>
              <w:drawing>
                <wp:inline distT="0" distB="0" distL="0" distR="0" wp14:anchorId="559BFE79" wp14:editId="5C7E40AC">
                  <wp:extent cx="1965960" cy="1474470"/>
                  <wp:effectExtent l="0" t="0" r="2540" b="0"/>
                  <wp:docPr id="934953011" name="Picture 7" descr="A hand holding a yellow pencil drawing lines on a piece of pap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953011" name="Picture 7" descr="A hand holding a yellow pencil drawing lines on a piece of paper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FE6C784" w14:textId="77777777" w:rsidR="004D5240" w:rsidRPr="0096519F" w:rsidRDefault="004D5240" w:rsidP="005C2B3F">
            <w:pPr>
              <w:jc w:val="center"/>
            </w:pPr>
            <w:r w:rsidRPr="77DED350">
              <w:rPr>
                <w:rFonts w:cs="Open Sans"/>
                <w:b/>
                <w:bCs/>
                <w:sz w:val="32"/>
                <w:szCs w:val="32"/>
              </w:rPr>
              <w:t>Done</w:t>
            </w:r>
            <w:r>
              <w:rPr>
                <w:noProof/>
              </w:rPr>
              <w:drawing>
                <wp:inline distT="0" distB="0" distL="0" distR="0" wp14:anchorId="7283E2B8" wp14:editId="489D9DB0">
                  <wp:extent cx="1965960" cy="1474470"/>
                  <wp:effectExtent l="0" t="0" r="2540" b="0"/>
                  <wp:docPr id="392845457" name="Picture 5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45457" name="Picture 5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240" w:rsidRPr="0096519F" w14:paraId="167EFAB0" w14:textId="77777777" w:rsidTr="005C2B3F">
        <w:trPr>
          <w:trHeight w:val="2682"/>
          <w:jc w:val="center"/>
        </w:trPr>
        <w:tc>
          <w:tcPr>
            <w:tcW w:w="3312" w:type="dxa"/>
          </w:tcPr>
          <w:p w14:paraId="2FD02A0C" w14:textId="77777777" w:rsidR="004D5240" w:rsidRPr="0096519F" w:rsidRDefault="004D5240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Share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1B7318B" wp14:editId="4BF47BB6">
                  <wp:extent cx="1965960" cy="1474470"/>
                  <wp:effectExtent l="0" t="0" r="2540" b="0"/>
                  <wp:docPr id="286648824" name="Picture 8" descr="A stick figure holding a red box and handing another red box to another stick figu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48824" name="Picture 8" descr="A stick figure holding a red box and handing another red box to another stick figure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FE9D05F" w14:textId="77777777" w:rsidR="004D5240" w:rsidRPr="0096519F" w:rsidRDefault="004D5240" w:rsidP="005C2B3F">
            <w:pPr>
              <w:jc w:val="center"/>
            </w:pPr>
            <w:r w:rsidRPr="77DED350">
              <w:rPr>
                <w:rFonts w:cs="Open Sans"/>
                <w:b/>
                <w:bCs/>
                <w:sz w:val="32"/>
                <w:szCs w:val="32"/>
              </w:rPr>
              <w:t>Marker</w:t>
            </w:r>
            <w:r>
              <w:rPr>
                <w:noProof/>
              </w:rPr>
              <w:drawing>
                <wp:inline distT="0" distB="0" distL="0" distR="0" wp14:anchorId="7D3AC344" wp14:editId="5261F2DA">
                  <wp:extent cx="1965960" cy="1474470"/>
                  <wp:effectExtent l="0" t="0" r="2540" b="0"/>
                  <wp:docPr id="71748991" name="Picture 9" descr="Three markers, one red, purple, and blue with the blue lid remov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8991" name="Picture 9" descr="Three markers, one red, purple, and blue with the blue lid removed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7EBA754" w14:textId="77777777" w:rsidR="004D5240" w:rsidRPr="0096519F" w:rsidRDefault="004D5240" w:rsidP="005C2B3F">
            <w:pPr>
              <w:jc w:val="center"/>
            </w:pPr>
            <w:r w:rsidRPr="77DED350">
              <w:rPr>
                <w:rFonts w:cs="Open Sans"/>
                <w:b/>
                <w:bCs/>
                <w:sz w:val="32"/>
                <w:szCs w:val="32"/>
              </w:rPr>
              <w:t>Color</w:t>
            </w:r>
            <w:r>
              <w:rPr>
                <w:noProof/>
              </w:rPr>
              <w:drawing>
                <wp:inline distT="0" distB="0" distL="0" distR="0" wp14:anchorId="12AE654C" wp14:editId="4770CEC1">
                  <wp:extent cx="1965960" cy="1474470"/>
                  <wp:effectExtent l="0" t="0" r="2540" b="0"/>
                  <wp:docPr id="1261058202" name="Picture 4" descr="A grid with different colors in each squa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058202" name="Picture 4" descr="A grid with different colors in each square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240" w:rsidRPr="0096519F" w14:paraId="790C741B" w14:textId="77777777" w:rsidTr="005C2B3F">
        <w:trPr>
          <w:trHeight w:val="2682"/>
          <w:jc w:val="center"/>
        </w:trPr>
        <w:tc>
          <w:tcPr>
            <w:tcW w:w="3312" w:type="dxa"/>
          </w:tcPr>
          <w:p w14:paraId="2063FC1E" w14:textId="77777777" w:rsidR="004D5240" w:rsidRPr="0096519F" w:rsidRDefault="004D5240" w:rsidP="005C2B3F">
            <w:pPr>
              <w:jc w:val="center"/>
            </w:pPr>
            <w:r w:rsidRPr="77DED350">
              <w:rPr>
                <w:rFonts w:cs="Open Sans"/>
                <w:b/>
                <w:bCs/>
                <w:sz w:val="32"/>
                <w:szCs w:val="32"/>
              </w:rPr>
              <w:t>Help</w:t>
            </w:r>
            <w:r>
              <w:rPr>
                <w:noProof/>
              </w:rPr>
              <w:drawing>
                <wp:inline distT="0" distB="0" distL="0" distR="0" wp14:anchorId="4DB89A27" wp14:editId="3DFEB46B">
                  <wp:extent cx="1965960" cy="1474470"/>
                  <wp:effectExtent l="0" t="0" r="2540" b="0"/>
                  <wp:docPr id="682459442" name="Picture 3" descr="A child kneeling on his knee and another child reaching toward the kneeling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59442" name="Picture 3" descr="A child kneeling on his knee and another child reaching toward the kneeling child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6CBDDFF" w14:textId="77777777" w:rsidR="004D5240" w:rsidRPr="0096519F" w:rsidRDefault="004D5240" w:rsidP="005C2B3F">
            <w:pPr>
              <w:jc w:val="center"/>
            </w:pPr>
            <w:r w:rsidRPr="77DED350">
              <w:rPr>
                <w:rFonts w:cs="Open Sans"/>
                <w:b/>
                <w:bCs/>
                <w:sz w:val="32"/>
                <w:szCs w:val="32"/>
              </w:rPr>
              <w:t>Pull</w:t>
            </w:r>
            <w:r>
              <w:rPr>
                <w:noProof/>
              </w:rPr>
              <w:drawing>
                <wp:inline distT="0" distB="0" distL="0" distR="0" wp14:anchorId="6F5C3613" wp14:editId="3F936280">
                  <wp:extent cx="1965960" cy="1474470"/>
                  <wp:effectExtent l="0" t="0" r="2540" b="0"/>
                  <wp:docPr id="1376546122" name="Picture 6" descr="A child pulling a rock toward th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46122" name="Picture 6" descr="A child pulling a rock toward them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61043F9" w14:textId="77777777" w:rsidR="004D5240" w:rsidRPr="0096519F" w:rsidRDefault="004D5240" w:rsidP="005C2B3F">
            <w:pPr>
              <w:jc w:val="center"/>
            </w:pPr>
            <w:r w:rsidRPr="77DED350">
              <w:rPr>
                <w:rFonts w:cs="Open Sans"/>
                <w:b/>
                <w:bCs/>
                <w:sz w:val="32"/>
                <w:szCs w:val="32"/>
              </w:rPr>
              <w:t>Push</w:t>
            </w:r>
            <w:r>
              <w:rPr>
                <w:noProof/>
              </w:rPr>
              <w:drawing>
                <wp:inline distT="0" distB="0" distL="0" distR="0" wp14:anchorId="14369C0C" wp14:editId="0E0D4025">
                  <wp:extent cx="1965960" cy="1474470"/>
                  <wp:effectExtent l="0" t="0" r="2540" b="0"/>
                  <wp:docPr id="987810144" name="Picture 2" descr="Child pushing rock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810144" name="Picture 2" descr="Child pushing rock away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4D00" w14:textId="77777777" w:rsidR="00D3357F" w:rsidRDefault="00D3357F" w:rsidP="00BF408A">
      <w:pPr>
        <w:spacing w:after="0" w:line="240" w:lineRule="auto"/>
      </w:pPr>
      <w:r>
        <w:separator/>
      </w:r>
    </w:p>
  </w:endnote>
  <w:endnote w:type="continuationSeparator" w:id="0">
    <w:p w14:paraId="4F6FBF9A" w14:textId="77777777" w:rsidR="00D3357F" w:rsidRDefault="00D3357F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BF51" w14:textId="77777777" w:rsidR="00D3357F" w:rsidRDefault="00D3357F" w:rsidP="00BF408A">
      <w:pPr>
        <w:spacing w:after="0" w:line="240" w:lineRule="auto"/>
      </w:pPr>
      <w:r>
        <w:separator/>
      </w:r>
    </w:p>
  </w:footnote>
  <w:footnote w:type="continuationSeparator" w:id="0">
    <w:p w14:paraId="58C829C3" w14:textId="77777777" w:rsidR="00D3357F" w:rsidRDefault="00D3357F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6"/>
  </w:num>
  <w:num w:numId="6" w16cid:durableId="1788891079">
    <w:abstractNumId w:val="5"/>
  </w:num>
  <w:num w:numId="7" w16cid:durableId="34035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07746"/>
    <w:rsid w:val="00011D4C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82E2D"/>
    <w:rsid w:val="000940B6"/>
    <w:rsid w:val="000C1381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26E36"/>
    <w:rsid w:val="0013360B"/>
    <w:rsid w:val="00147880"/>
    <w:rsid w:val="00151119"/>
    <w:rsid w:val="001547FC"/>
    <w:rsid w:val="00156107"/>
    <w:rsid w:val="001816B3"/>
    <w:rsid w:val="0019112B"/>
    <w:rsid w:val="001A57EC"/>
    <w:rsid w:val="001A7704"/>
    <w:rsid w:val="001D6283"/>
    <w:rsid w:val="001D7BCC"/>
    <w:rsid w:val="001E238C"/>
    <w:rsid w:val="00203647"/>
    <w:rsid w:val="00210F13"/>
    <w:rsid w:val="0021767E"/>
    <w:rsid w:val="00224322"/>
    <w:rsid w:val="00225FEE"/>
    <w:rsid w:val="00233458"/>
    <w:rsid w:val="002463B5"/>
    <w:rsid w:val="00247E32"/>
    <w:rsid w:val="002574C5"/>
    <w:rsid w:val="00264683"/>
    <w:rsid w:val="00264D80"/>
    <w:rsid w:val="0026704E"/>
    <w:rsid w:val="00281D6C"/>
    <w:rsid w:val="0028636A"/>
    <w:rsid w:val="002924F9"/>
    <w:rsid w:val="00296616"/>
    <w:rsid w:val="002A1B69"/>
    <w:rsid w:val="002A2E27"/>
    <w:rsid w:val="002A6432"/>
    <w:rsid w:val="002B2CA2"/>
    <w:rsid w:val="002C2776"/>
    <w:rsid w:val="002C2F99"/>
    <w:rsid w:val="002D65E6"/>
    <w:rsid w:val="002E43F6"/>
    <w:rsid w:val="002E70B0"/>
    <w:rsid w:val="002F3659"/>
    <w:rsid w:val="00310AD3"/>
    <w:rsid w:val="003166C4"/>
    <w:rsid w:val="00317082"/>
    <w:rsid w:val="00335343"/>
    <w:rsid w:val="00352831"/>
    <w:rsid w:val="00354F99"/>
    <w:rsid w:val="00361E4B"/>
    <w:rsid w:val="00371A37"/>
    <w:rsid w:val="00372C1A"/>
    <w:rsid w:val="0038052B"/>
    <w:rsid w:val="00380C9E"/>
    <w:rsid w:val="00390CB8"/>
    <w:rsid w:val="00392108"/>
    <w:rsid w:val="003952EE"/>
    <w:rsid w:val="003A4F39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29A7"/>
    <w:rsid w:val="00417954"/>
    <w:rsid w:val="004258C4"/>
    <w:rsid w:val="00426001"/>
    <w:rsid w:val="004271EB"/>
    <w:rsid w:val="0043096A"/>
    <w:rsid w:val="00434C63"/>
    <w:rsid w:val="004503E8"/>
    <w:rsid w:val="004603EB"/>
    <w:rsid w:val="00487351"/>
    <w:rsid w:val="00487C25"/>
    <w:rsid w:val="004A2470"/>
    <w:rsid w:val="004A3AF1"/>
    <w:rsid w:val="004A5BCB"/>
    <w:rsid w:val="004C5FE6"/>
    <w:rsid w:val="004D2168"/>
    <w:rsid w:val="004D5240"/>
    <w:rsid w:val="004E1FF7"/>
    <w:rsid w:val="00505DC3"/>
    <w:rsid w:val="00512848"/>
    <w:rsid w:val="005210DD"/>
    <w:rsid w:val="00524879"/>
    <w:rsid w:val="0056440B"/>
    <w:rsid w:val="005673D1"/>
    <w:rsid w:val="0057752D"/>
    <w:rsid w:val="005823DB"/>
    <w:rsid w:val="005972BC"/>
    <w:rsid w:val="005A36B0"/>
    <w:rsid w:val="005B4493"/>
    <w:rsid w:val="005B510F"/>
    <w:rsid w:val="005C6733"/>
    <w:rsid w:val="005C712D"/>
    <w:rsid w:val="005C725F"/>
    <w:rsid w:val="005D0FE7"/>
    <w:rsid w:val="005E0098"/>
    <w:rsid w:val="005E40E2"/>
    <w:rsid w:val="005E689E"/>
    <w:rsid w:val="005E6D03"/>
    <w:rsid w:val="005F0133"/>
    <w:rsid w:val="005F5A5E"/>
    <w:rsid w:val="006024D4"/>
    <w:rsid w:val="00604E31"/>
    <w:rsid w:val="00620624"/>
    <w:rsid w:val="0062759B"/>
    <w:rsid w:val="006358C6"/>
    <w:rsid w:val="00644734"/>
    <w:rsid w:val="00644C39"/>
    <w:rsid w:val="00654435"/>
    <w:rsid w:val="006548E1"/>
    <w:rsid w:val="006710AE"/>
    <w:rsid w:val="00677A5E"/>
    <w:rsid w:val="00686D4C"/>
    <w:rsid w:val="006A6866"/>
    <w:rsid w:val="006C3BDF"/>
    <w:rsid w:val="006D29B4"/>
    <w:rsid w:val="006D532B"/>
    <w:rsid w:val="006D6BBD"/>
    <w:rsid w:val="006E3367"/>
    <w:rsid w:val="006F3FBE"/>
    <w:rsid w:val="00700A31"/>
    <w:rsid w:val="00702AD5"/>
    <w:rsid w:val="00707D28"/>
    <w:rsid w:val="00714B72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3096"/>
    <w:rsid w:val="007938B6"/>
    <w:rsid w:val="00794876"/>
    <w:rsid w:val="00794BE2"/>
    <w:rsid w:val="0079585B"/>
    <w:rsid w:val="007A099B"/>
    <w:rsid w:val="007C4EB0"/>
    <w:rsid w:val="007C738E"/>
    <w:rsid w:val="007E1CAE"/>
    <w:rsid w:val="007E2FCC"/>
    <w:rsid w:val="007E5078"/>
    <w:rsid w:val="008109A0"/>
    <w:rsid w:val="008219CC"/>
    <w:rsid w:val="0082332A"/>
    <w:rsid w:val="008306F6"/>
    <w:rsid w:val="0084398E"/>
    <w:rsid w:val="00855F74"/>
    <w:rsid w:val="00862276"/>
    <w:rsid w:val="0086416A"/>
    <w:rsid w:val="00881DCF"/>
    <w:rsid w:val="0088582F"/>
    <w:rsid w:val="0089098F"/>
    <w:rsid w:val="0089475E"/>
    <w:rsid w:val="00894F79"/>
    <w:rsid w:val="008A5FB8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5514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6F"/>
    <w:rsid w:val="009658A2"/>
    <w:rsid w:val="00975676"/>
    <w:rsid w:val="00975D95"/>
    <w:rsid w:val="00977630"/>
    <w:rsid w:val="00997B20"/>
    <w:rsid w:val="00997E32"/>
    <w:rsid w:val="009A302F"/>
    <w:rsid w:val="009B2F06"/>
    <w:rsid w:val="009B454B"/>
    <w:rsid w:val="009B72D0"/>
    <w:rsid w:val="009C0B1A"/>
    <w:rsid w:val="009D06E3"/>
    <w:rsid w:val="009D6A0D"/>
    <w:rsid w:val="009E2816"/>
    <w:rsid w:val="009F6CF9"/>
    <w:rsid w:val="00A05C17"/>
    <w:rsid w:val="00A065B3"/>
    <w:rsid w:val="00A14BF9"/>
    <w:rsid w:val="00A35F93"/>
    <w:rsid w:val="00A40050"/>
    <w:rsid w:val="00A456D6"/>
    <w:rsid w:val="00A60DAA"/>
    <w:rsid w:val="00A62E35"/>
    <w:rsid w:val="00A63179"/>
    <w:rsid w:val="00A63C39"/>
    <w:rsid w:val="00A748D1"/>
    <w:rsid w:val="00A7754E"/>
    <w:rsid w:val="00A817A5"/>
    <w:rsid w:val="00A82EB5"/>
    <w:rsid w:val="00A875E0"/>
    <w:rsid w:val="00AA6C03"/>
    <w:rsid w:val="00AD1483"/>
    <w:rsid w:val="00AD2BF8"/>
    <w:rsid w:val="00AE3E25"/>
    <w:rsid w:val="00AE6293"/>
    <w:rsid w:val="00AF05D6"/>
    <w:rsid w:val="00B1463C"/>
    <w:rsid w:val="00B20617"/>
    <w:rsid w:val="00B25C67"/>
    <w:rsid w:val="00B36266"/>
    <w:rsid w:val="00B362E0"/>
    <w:rsid w:val="00B512C0"/>
    <w:rsid w:val="00B54594"/>
    <w:rsid w:val="00B5541B"/>
    <w:rsid w:val="00B61347"/>
    <w:rsid w:val="00B72F4A"/>
    <w:rsid w:val="00B74530"/>
    <w:rsid w:val="00B76711"/>
    <w:rsid w:val="00B823DB"/>
    <w:rsid w:val="00B8337A"/>
    <w:rsid w:val="00B8367C"/>
    <w:rsid w:val="00B836E3"/>
    <w:rsid w:val="00B855E4"/>
    <w:rsid w:val="00B8640D"/>
    <w:rsid w:val="00B90BCD"/>
    <w:rsid w:val="00B91BDD"/>
    <w:rsid w:val="00B91D19"/>
    <w:rsid w:val="00B92A67"/>
    <w:rsid w:val="00B92FA4"/>
    <w:rsid w:val="00BA0BEF"/>
    <w:rsid w:val="00BB0D17"/>
    <w:rsid w:val="00BB2774"/>
    <w:rsid w:val="00BB75A0"/>
    <w:rsid w:val="00BC09BF"/>
    <w:rsid w:val="00BD3CDC"/>
    <w:rsid w:val="00BD78B5"/>
    <w:rsid w:val="00BD7E8C"/>
    <w:rsid w:val="00BE0B54"/>
    <w:rsid w:val="00BE6933"/>
    <w:rsid w:val="00BF408A"/>
    <w:rsid w:val="00BF5BCA"/>
    <w:rsid w:val="00C036AC"/>
    <w:rsid w:val="00C0572B"/>
    <w:rsid w:val="00C25947"/>
    <w:rsid w:val="00C27F3C"/>
    <w:rsid w:val="00C35588"/>
    <w:rsid w:val="00C416C5"/>
    <w:rsid w:val="00C50505"/>
    <w:rsid w:val="00C52A77"/>
    <w:rsid w:val="00C80741"/>
    <w:rsid w:val="00C97B1D"/>
    <w:rsid w:val="00CA11C5"/>
    <w:rsid w:val="00CA75A5"/>
    <w:rsid w:val="00CB5531"/>
    <w:rsid w:val="00CC5624"/>
    <w:rsid w:val="00CD5771"/>
    <w:rsid w:val="00CE20D8"/>
    <w:rsid w:val="00CE4E4A"/>
    <w:rsid w:val="00D0097C"/>
    <w:rsid w:val="00D00C80"/>
    <w:rsid w:val="00D30202"/>
    <w:rsid w:val="00D3357F"/>
    <w:rsid w:val="00D42F5B"/>
    <w:rsid w:val="00D4336B"/>
    <w:rsid w:val="00D43FAB"/>
    <w:rsid w:val="00D4789F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D532B"/>
    <w:rsid w:val="00DE0462"/>
    <w:rsid w:val="00DE2B80"/>
    <w:rsid w:val="00DF1CEB"/>
    <w:rsid w:val="00DF31DB"/>
    <w:rsid w:val="00E02186"/>
    <w:rsid w:val="00E0298E"/>
    <w:rsid w:val="00E04AC2"/>
    <w:rsid w:val="00E07A00"/>
    <w:rsid w:val="00E242AD"/>
    <w:rsid w:val="00E24E32"/>
    <w:rsid w:val="00E31929"/>
    <w:rsid w:val="00E44CDA"/>
    <w:rsid w:val="00E45BC0"/>
    <w:rsid w:val="00E63DF3"/>
    <w:rsid w:val="00E64B14"/>
    <w:rsid w:val="00E65589"/>
    <w:rsid w:val="00E76CFF"/>
    <w:rsid w:val="00E82A56"/>
    <w:rsid w:val="00EA15D8"/>
    <w:rsid w:val="00EA3E96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123F6"/>
    <w:rsid w:val="00F22B90"/>
    <w:rsid w:val="00F257FB"/>
    <w:rsid w:val="00F26241"/>
    <w:rsid w:val="00F31457"/>
    <w:rsid w:val="00F44AD5"/>
    <w:rsid w:val="00F455E0"/>
    <w:rsid w:val="00F46657"/>
    <w:rsid w:val="00F47A61"/>
    <w:rsid w:val="00F52F8B"/>
    <w:rsid w:val="00F56CCB"/>
    <w:rsid w:val="00F61840"/>
    <w:rsid w:val="00F647DC"/>
    <w:rsid w:val="00F658EC"/>
    <w:rsid w:val="00F67E33"/>
    <w:rsid w:val="00F925D4"/>
    <w:rsid w:val="00F93D1A"/>
    <w:rsid w:val="00F93E3F"/>
    <w:rsid w:val="00F97B3A"/>
    <w:rsid w:val="00FA0F82"/>
    <w:rsid w:val="00FB1C48"/>
    <w:rsid w:val="00FB51D9"/>
    <w:rsid w:val="00FC24CB"/>
    <w:rsid w:val="00FC34F3"/>
    <w:rsid w:val="00FE661D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schooloutfitters.com/catalog/product_info/pfam_id/PFAM34067/products_id/PRO45396?sc_cid=Google_WDD-19616&amp;adtype=pla&amp;kw=&amp;gclid=EAIaIQobChMIjYuR8M3--gIV2cmUCR1-OQEUEAQYASABEgIlUPD_BwE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05B86-C180-4AAF-9DD5-BD2755D6B28E}"/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20</cp:revision>
  <cp:lastPrinted>2024-11-05T17:30:00Z</cp:lastPrinted>
  <dcterms:created xsi:type="dcterms:W3CDTF">2025-02-12T17:39:00Z</dcterms:created>
  <dcterms:modified xsi:type="dcterms:W3CDTF">2025-02-12T17:52:00Z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